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88370" w14:textId="77777777" w:rsidR="00185763" w:rsidRDefault="00185763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0E2CB090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637E3337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7B7FB9F1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6E0D4124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0D89062E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5CBECF2D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1F1EE198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7EC13B70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58D99DA2" w14:textId="059307C6" w:rsidR="00185763" w:rsidRDefault="00185763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Projected Portfolios Return</w:t>
      </w:r>
    </w:p>
    <w:p w14:paraId="086CF57C" w14:textId="77777777" w:rsidR="00185763" w:rsidRDefault="00185763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Name</w:t>
      </w:r>
    </w:p>
    <w:p w14:paraId="08B76447" w14:textId="749DEB27" w:rsidR="005646F3" w:rsidRDefault="00185763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Institution</w:t>
      </w:r>
    </w:p>
    <w:p w14:paraId="561232DE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1336602B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28140C38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24257578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4C184E1E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5B79A05A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64097329" w14:textId="77777777" w:rsidR="004906B5" w:rsidRDefault="004906B5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</w:p>
    <w:p w14:paraId="28BD69DD" w14:textId="69532828" w:rsidR="00185763" w:rsidRDefault="00185763" w:rsidP="00185763">
      <w:pPr>
        <w:shd w:val="clear" w:color="auto" w:fill="FFFFFF"/>
        <w:spacing w:after="150" w:line="48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>Projected Portfolios Return</w:t>
      </w:r>
    </w:p>
    <w:p w14:paraId="7E8EA306" w14:textId="77777777" w:rsidR="005646F3" w:rsidRPr="00471DC0" w:rsidRDefault="005646F3" w:rsidP="00471DC0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471DC0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Assume you are considering a portfolio containing two assets, L and M. Asset L will represent 40% of the dollar value of the portfolio, and asset M will account for the other 60%. The projected returns over the next six years, 2018–2023, for each of these assets </w:t>
      </w:r>
      <w:proofErr w:type="gramStart"/>
      <w:r w:rsidRPr="00471DC0">
        <w:rPr>
          <w:rFonts w:ascii="Times New Roman" w:eastAsia="Times New Roman" w:hAnsi="Times New Roman" w:cs="Times New Roman"/>
          <w:color w:val="414141"/>
          <w:sz w:val="24"/>
          <w:szCs w:val="24"/>
        </w:rPr>
        <w:t>are summarized</w:t>
      </w:r>
      <w:proofErr w:type="gramEnd"/>
      <w:r w:rsidRPr="00471DC0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in the following table.</w:t>
      </w:r>
    </w:p>
    <w:tbl>
      <w:tblPr>
        <w:tblW w:w="5116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1889"/>
        <w:gridCol w:w="2021"/>
      </w:tblGrid>
      <w:tr w:rsidR="005646F3" w:rsidRPr="00471DC0" w14:paraId="03BA5A72" w14:textId="77777777" w:rsidTr="00C9043F">
        <w:trPr>
          <w:trHeight w:val="338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47714" w14:textId="4D15EB23" w:rsidR="005646F3" w:rsidRPr="00471DC0" w:rsidRDefault="005646F3" w:rsidP="00C904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 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905A5" w14:textId="77777777" w:rsidR="005646F3" w:rsidRPr="00471DC0" w:rsidRDefault="005646F3" w:rsidP="00C904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Projected Return (%)</w:t>
            </w:r>
          </w:p>
        </w:tc>
      </w:tr>
      <w:tr w:rsidR="005646F3" w:rsidRPr="00471DC0" w14:paraId="5458F50F" w14:textId="77777777" w:rsidTr="00C9043F">
        <w:trPr>
          <w:trHeight w:val="32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C702D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840FF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23787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M</w:t>
            </w:r>
          </w:p>
        </w:tc>
      </w:tr>
      <w:tr w:rsidR="005646F3" w:rsidRPr="00471DC0" w14:paraId="2AC3E5FA" w14:textId="77777777" w:rsidTr="00C9043F">
        <w:trPr>
          <w:trHeight w:val="33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E1112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1CA76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0F280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20%</w:t>
            </w:r>
          </w:p>
        </w:tc>
      </w:tr>
      <w:tr w:rsidR="005646F3" w:rsidRPr="00471DC0" w14:paraId="398358D8" w14:textId="77777777" w:rsidTr="00C9043F">
        <w:trPr>
          <w:trHeight w:val="33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A7A9E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ECE3A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A3DD7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18%</w:t>
            </w:r>
          </w:p>
        </w:tc>
      </w:tr>
      <w:tr w:rsidR="005646F3" w:rsidRPr="00471DC0" w14:paraId="34EEF706" w14:textId="77777777" w:rsidTr="00C9043F">
        <w:trPr>
          <w:trHeight w:val="32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42B0F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4E16C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8D98E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16%</w:t>
            </w:r>
          </w:p>
        </w:tc>
      </w:tr>
      <w:tr w:rsidR="005646F3" w:rsidRPr="00471DC0" w14:paraId="6DB813A3" w14:textId="77777777" w:rsidTr="00C9043F">
        <w:trPr>
          <w:trHeight w:val="33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7843C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8D095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6B559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</w:tr>
      <w:tr w:rsidR="005646F3" w:rsidRPr="00471DC0" w14:paraId="5698B923" w14:textId="77777777" w:rsidTr="00C9043F">
        <w:trPr>
          <w:trHeight w:val="33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63B2B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8AA47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92E78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12%</w:t>
            </w:r>
          </w:p>
        </w:tc>
      </w:tr>
      <w:tr w:rsidR="005646F3" w:rsidRPr="00471DC0" w14:paraId="0EE54C9D" w14:textId="77777777" w:rsidTr="00C9043F">
        <w:trPr>
          <w:trHeight w:val="33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3642F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72B33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13259" w14:textId="77777777" w:rsidR="005646F3" w:rsidRPr="00471DC0" w:rsidRDefault="005646F3" w:rsidP="00C904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471DC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10%</w:t>
            </w:r>
          </w:p>
        </w:tc>
      </w:tr>
    </w:tbl>
    <w:p w14:paraId="0DB8D311" w14:textId="77777777" w:rsidR="005646F3" w:rsidRPr="00471DC0" w:rsidRDefault="005646F3" w:rsidP="00471DC0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471DC0">
        <w:rPr>
          <w:rFonts w:ascii="Times New Roman" w:eastAsia="Times New Roman" w:hAnsi="Times New Roman" w:cs="Times New Roman"/>
          <w:color w:val="414141"/>
          <w:sz w:val="24"/>
          <w:szCs w:val="24"/>
        </w:rPr>
        <w:t> </w:t>
      </w:r>
    </w:p>
    <w:p w14:paraId="0685F737" w14:textId="5B8F1621" w:rsidR="005646F3" w:rsidRDefault="005646F3" w:rsidP="00C904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ind w:left="1020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C9043F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Use an Excel spreadsheet to calculate the projected portfolio return, </w:t>
      </w:r>
      <w:proofErr w:type="spellStart"/>
      <w:r w:rsidRPr="00C9043F">
        <w:rPr>
          <w:rFonts w:ascii="Times New Roman" w:eastAsia="Times New Roman" w:hAnsi="Times New Roman" w:cs="Times New Roman"/>
          <w:b/>
          <w:i/>
          <w:iCs/>
          <w:color w:val="414141"/>
          <w:sz w:val="24"/>
          <w:szCs w:val="24"/>
        </w:rPr>
        <w:t>r</w:t>
      </w:r>
      <w:r w:rsidRPr="00C9043F">
        <w:rPr>
          <w:rFonts w:ascii="Times New Roman" w:eastAsia="Times New Roman" w:hAnsi="Times New Roman" w:cs="Times New Roman"/>
          <w:b/>
          <w:i/>
          <w:iCs/>
          <w:color w:val="414141"/>
          <w:sz w:val="24"/>
          <w:szCs w:val="24"/>
          <w:vertAlign w:val="subscript"/>
        </w:rPr>
        <w:t>p</w:t>
      </w:r>
      <w:proofErr w:type="spellEnd"/>
      <w:r w:rsidRPr="00C9043F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, for each of the six years</w:t>
      </w:r>
    </w:p>
    <w:p w14:paraId="2D485B6B" w14:textId="6080C049" w:rsidR="00461CFB" w:rsidRDefault="00461CFB" w:rsidP="006D1943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The expected portfolio return is the average return on</w:t>
      </w:r>
      <w:r w:rsidR="0060278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an invested asset</w:t>
      </w:r>
      <w:r w:rsidR="007E0301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(</w:t>
      </w:r>
      <w:r w:rsidR="007E0301" w:rsidRPr="00075B10">
        <w:rPr>
          <w:rFonts w:ascii="Times New Roman" w:hAnsi="Times New Roman" w:cs="Times New Roman"/>
          <w:sz w:val="24"/>
          <w:szCs w:val="24"/>
        </w:rPr>
        <w:t>Bacon, 2013</w:t>
      </w:r>
      <w:r w:rsidR="007E0301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. The formula to compute the projected portfolio return is given </w:t>
      </w:r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E(r</w:t>
      </w:r>
      <w:proofErr w:type="gramStart"/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)</w:t>
      </w:r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p</w:t>
      </w:r>
      <w:proofErr w:type="gramEnd"/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= </w:t>
      </w:r>
      <w:proofErr w:type="spellStart"/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W</w:t>
      </w:r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i</w:t>
      </w:r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</w:t>
      </w:r>
      <w:proofErr w:type="spellEnd"/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(r)</w:t>
      </w:r>
      <w:r w:rsidR="00BD685A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i</w:t>
      </w:r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+ </w:t>
      </w:r>
      <w:proofErr w:type="spellStart"/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W</w:t>
      </w:r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j</w:t>
      </w:r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</w:t>
      </w:r>
      <w:proofErr w:type="spellEnd"/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(r)</w:t>
      </w:r>
      <w:r w:rsidR="0099069E"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j</w:t>
      </w:r>
      <w:r w:rsidR="00F300F6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 xml:space="preserve"> </w:t>
      </w:r>
    </w:p>
    <w:p w14:paraId="4ED79FF3" w14:textId="6CEDC4D4" w:rsidR="00BD685A" w:rsidRPr="00F377FF" w:rsidRDefault="00BD685A" w:rsidP="00461CFB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Where, 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E(r</w:t>
      </w:r>
      <w:proofErr w:type="gramStart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)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p</w:t>
      </w:r>
      <w:proofErr w:type="gramEnd"/>
      <w:r w:rsidR="00F377FF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 xml:space="preserve"> </w:t>
      </w:r>
      <w:r w:rsidR="00F377FF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= Expected return on portfolio</w:t>
      </w:r>
    </w:p>
    <w:p w14:paraId="407C4957" w14:textId="4947DDCE" w:rsidR="00BD685A" w:rsidRPr="00F377FF" w:rsidRDefault="00BD685A" w:rsidP="00461CFB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ab/>
      </w:r>
      <w:proofErr w:type="gramStart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W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i</w:t>
      </w:r>
      <w:r w:rsidR="00F377FF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 xml:space="preserve">  </w:t>
      </w:r>
      <w:r w:rsidR="00F377FF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=</w:t>
      </w:r>
      <w:proofErr w:type="gramEnd"/>
      <w:r w:rsidR="00F377FF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weight of the asset i</w:t>
      </w:r>
    </w:p>
    <w:p w14:paraId="4C283BB7" w14:textId="79F70D05" w:rsidR="00F377FF" w:rsidRDefault="00F377FF" w:rsidP="00F377FF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(r</w:t>
      </w:r>
      <w:proofErr w:type="gramStart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)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i</w:t>
      </w:r>
      <w:proofErr w:type="gramEnd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= expected return on asset i</w:t>
      </w:r>
    </w:p>
    <w:p w14:paraId="6BBEE8BF" w14:textId="461A1F48" w:rsidR="00FE3628" w:rsidRPr="00FE3628" w:rsidRDefault="00FE3628" w:rsidP="00F377FF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i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414141"/>
          <w:sz w:val="24"/>
          <w:szCs w:val="24"/>
        </w:rPr>
        <w:lastRenderedPageBreak/>
        <w:t>Table 1: Expected Portfolio Return over the Six Years</w:t>
      </w:r>
    </w:p>
    <w:tbl>
      <w:tblPr>
        <w:tblW w:w="534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2460"/>
      </w:tblGrid>
      <w:tr w:rsidR="00F7710D" w:rsidRPr="00F7710D" w14:paraId="5FE697DD" w14:textId="77777777" w:rsidTr="00F7710D">
        <w:trPr>
          <w:trHeight w:val="6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F6BACA" w14:textId="77777777" w:rsidR="00F7710D" w:rsidRPr="00F7710D" w:rsidRDefault="00F7710D" w:rsidP="00F77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8D8DB" w14:textId="77777777" w:rsidR="00F7710D" w:rsidRPr="00F7710D" w:rsidRDefault="00F7710D" w:rsidP="00F77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Projected Return (%)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44F6" w14:textId="77777777" w:rsidR="00F7710D" w:rsidRPr="00F7710D" w:rsidRDefault="00F7710D" w:rsidP="00F771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10D">
              <w:rPr>
                <w:rFonts w:ascii="Calibri" w:eastAsia="Times New Roman" w:hAnsi="Calibri" w:cs="Calibri"/>
                <w:color w:val="000000"/>
              </w:rPr>
              <w:t>expected portfolio return</w:t>
            </w:r>
          </w:p>
        </w:tc>
      </w:tr>
      <w:tr w:rsidR="00F7710D" w:rsidRPr="00F7710D" w14:paraId="4422CB11" w14:textId="77777777" w:rsidTr="00F7710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5CD4ED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14132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EDE60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M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75E019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</w:t>
            </w:r>
          </w:p>
        </w:tc>
      </w:tr>
      <w:tr w:rsidR="00F7710D" w:rsidRPr="00F7710D" w14:paraId="2879C4C0" w14:textId="77777777" w:rsidTr="00F7710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5168F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F1515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8BC1E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9D8C" w14:textId="77777777" w:rsidR="00F7710D" w:rsidRPr="00F7710D" w:rsidRDefault="00F7710D" w:rsidP="00F77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710D">
              <w:rPr>
                <w:rFonts w:ascii="Calibri" w:eastAsia="Times New Roman" w:hAnsi="Calibri" w:cs="Calibri"/>
                <w:color w:val="000000"/>
              </w:rPr>
              <w:t>17.60%</w:t>
            </w:r>
          </w:p>
        </w:tc>
      </w:tr>
      <w:tr w:rsidR="00F7710D" w:rsidRPr="00F7710D" w14:paraId="4AA29FE0" w14:textId="77777777" w:rsidTr="00F7710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DB8C3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607D4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71494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18%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2CF5" w14:textId="77777777" w:rsidR="00F7710D" w:rsidRPr="00F7710D" w:rsidRDefault="00F7710D" w:rsidP="00F77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710D">
              <w:rPr>
                <w:rFonts w:ascii="Calibri" w:eastAsia="Times New Roman" w:hAnsi="Calibri" w:cs="Calibri"/>
                <w:color w:val="000000"/>
              </w:rPr>
              <w:t>16.40%</w:t>
            </w:r>
          </w:p>
        </w:tc>
      </w:tr>
      <w:tr w:rsidR="00F7710D" w:rsidRPr="00F7710D" w14:paraId="442E3294" w14:textId="77777777" w:rsidTr="00F7710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DC2B5E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88A92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68B937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16%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32F8" w14:textId="77777777" w:rsidR="00F7710D" w:rsidRPr="00F7710D" w:rsidRDefault="00F7710D" w:rsidP="00F77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710D">
              <w:rPr>
                <w:rFonts w:ascii="Calibri" w:eastAsia="Times New Roman" w:hAnsi="Calibri" w:cs="Calibri"/>
                <w:color w:val="000000"/>
              </w:rPr>
              <w:t>16.00%</w:t>
            </w:r>
          </w:p>
        </w:tc>
      </w:tr>
      <w:tr w:rsidR="00F7710D" w:rsidRPr="00F7710D" w14:paraId="560E3377" w14:textId="77777777" w:rsidTr="00F7710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7337A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5EB5C0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6F45D8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20B3" w14:textId="77777777" w:rsidR="00F7710D" w:rsidRPr="00F7710D" w:rsidRDefault="00F7710D" w:rsidP="00F77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710D">
              <w:rPr>
                <w:rFonts w:ascii="Calibri" w:eastAsia="Times New Roman" w:hAnsi="Calibri" w:cs="Calibri"/>
                <w:color w:val="000000"/>
              </w:rPr>
              <w:t>15.20%</w:t>
            </w:r>
          </w:p>
        </w:tc>
      </w:tr>
      <w:tr w:rsidR="00F7710D" w:rsidRPr="00F7710D" w14:paraId="46858D3F" w14:textId="77777777" w:rsidTr="00F7710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D93E29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2943F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6DF734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12%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2FDA" w14:textId="77777777" w:rsidR="00F7710D" w:rsidRPr="00F7710D" w:rsidRDefault="00F7710D" w:rsidP="00F77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710D">
              <w:rPr>
                <w:rFonts w:ascii="Calibri" w:eastAsia="Times New Roman" w:hAnsi="Calibri" w:cs="Calibri"/>
                <w:color w:val="000000"/>
              </w:rPr>
              <w:t>14.00%</w:t>
            </w:r>
          </w:p>
        </w:tc>
      </w:tr>
      <w:tr w:rsidR="00F7710D" w:rsidRPr="00F7710D" w14:paraId="2848AEE3" w14:textId="77777777" w:rsidTr="00F7710D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887591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1300AF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E1E93" w14:textId="77777777" w:rsidR="00F7710D" w:rsidRPr="00F7710D" w:rsidRDefault="00F7710D" w:rsidP="00F7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7710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10%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E7EA" w14:textId="77777777" w:rsidR="00F7710D" w:rsidRPr="00F7710D" w:rsidRDefault="00F7710D" w:rsidP="00F771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710D">
              <w:rPr>
                <w:rFonts w:ascii="Calibri" w:eastAsia="Times New Roman" w:hAnsi="Calibri" w:cs="Calibri"/>
                <w:color w:val="000000"/>
              </w:rPr>
              <w:t>13.60%</w:t>
            </w:r>
          </w:p>
        </w:tc>
      </w:tr>
    </w:tbl>
    <w:p w14:paraId="47C77B46" w14:textId="105D7CE5" w:rsidR="00F7710D" w:rsidRPr="00A65F49" w:rsidRDefault="00FE3628" w:rsidP="00F377FF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The </w:t>
      </w:r>
      <w:r w:rsidR="00A7640F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table 1 above reveals the highest </w:t>
      </w:r>
      <w:r w:rsidR="00421977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expected return in the year 2018 where the two portfolio yielded a return of </w:t>
      </w:r>
      <w:r w:rsidR="00421977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17.60% {(</w:t>
      </w:r>
      <w:r w:rsidR="00402B93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14%*40%</w:t>
      </w:r>
      <w:r w:rsidR="00421977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)</w:t>
      </w:r>
      <w:r w:rsidR="00402B93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+ (20%*60%)</w:t>
      </w:r>
      <w:r w:rsidR="00421977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}</w:t>
      </w:r>
      <w:r w:rsidR="00402B93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. </w:t>
      </w:r>
      <w:r w:rsidR="00402B9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On the contrary, the </w:t>
      </w:r>
      <w:r w:rsidR="00A65F49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least expected return </w:t>
      </w:r>
      <w:proofErr w:type="gramStart"/>
      <w:r w:rsidR="00A65F49">
        <w:rPr>
          <w:rFonts w:ascii="Times New Roman" w:eastAsia="Times New Roman" w:hAnsi="Times New Roman" w:cs="Times New Roman"/>
          <w:color w:val="414141"/>
          <w:sz w:val="24"/>
          <w:szCs w:val="24"/>
        </w:rPr>
        <w:t>is attributed</w:t>
      </w:r>
      <w:proofErr w:type="gramEnd"/>
      <w:r w:rsidR="00A65F49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to the year 2023, which is </w:t>
      </w:r>
      <w:r w:rsidR="00A65F49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13.60%. </w:t>
      </w:r>
      <w:r w:rsidR="006F257B">
        <w:rPr>
          <w:rFonts w:ascii="Times New Roman" w:eastAsia="Times New Roman" w:hAnsi="Times New Roman" w:cs="Times New Roman"/>
          <w:color w:val="414141"/>
          <w:sz w:val="24"/>
          <w:szCs w:val="24"/>
        </w:rPr>
        <w:t>F</w:t>
      </w:r>
      <w:r w:rsidR="00A65F49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rom an investment point of view, the two portfolios exhibit a </w:t>
      </w:r>
      <w:r w:rsidR="006F257B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diminishing rate of return because of the steady decline in the expected return from the first year through to the sixth year. </w:t>
      </w:r>
      <w:r w:rsidR="00F549E8">
        <w:rPr>
          <w:rFonts w:ascii="Times New Roman" w:eastAsia="Times New Roman" w:hAnsi="Times New Roman" w:cs="Times New Roman"/>
          <w:color w:val="414141"/>
          <w:sz w:val="24"/>
          <w:szCs w:val="24"/>
        </w:rPr>
        <w:t>The asset manager should strive to capitalize on the higher re</w:t>
      </w:r>
      <w:r w:rsidR="00E05FC5">
        <w:rPr>
          <w:rFonts w:ascii="Times New Roman" w:eastAsia="Times New Roman" w:hAnsi="Times New Roman" w:cs="Times New Roman"/>
          <w:color w:val="414141"/>
          <w:sz w:val="24"/>
          <w:szCs w:val="24"/>
        </w:rPr>
        <w:t>turns garnered in the early years to offset the dwindling returns in the latter years</w:t>
      </w:r>
      <w:r w:rsidR="007E0301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(</w:t>
      </w:r>
      <w:r w:rsidR="007E0301" w:rsidRPr="00075B10">
        <w:rPr>
          <w:rFonts w:ascii="Times New Roman" w:hAnsi="Times New Roman" w:cs="Times New Roman"/>
          <w:sz w:val="24"/>
          <w:szCs w:val="24"/>
        </w:rPr>
        <w:t>Bacon, 2013</w:t>
      </w:r>
      <w:r w:rsidR="007E0301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E05FC5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.  </w:t>
      </w:r>
    </w:p>
    <w:p w14:paraId="5C69A9C2" w14:textId="604BEB4F" w:rsidR="005646F3" w:rsidRPr="00C9043F" w:rsidRDefault="005646F3" w:rsidP="00C904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ind w:left="1020"/>
        <w:jc w:val="center"/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</w:pPr>
      <w:r w:rsidRPr="00C9043F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Use an Excel spreadsheet to calculate the average portfolio return, </w:t>
      </w:r>
      <w:proofErr w:type="spellStart"/>
      <w:r w:rsidRPr="00C9043F">
        <w:rPr>
          <w:rFonts w:ascii="Times New Roman" w:eastAsia="Times New Roman" w:hAnsi="Times New Roman" w:cs="Times New Roman"/>
          <w:b/>
          <w:i/>
          <w:iCs/>
          <w:color w:val="414141"/>
          <w:sz w:val="24"/>
          <w:szCs w:val="24"/>
        </w:rPr>
        <w:t>r</w:t>
      </w:r>
      <w:r w:rsidRPr="00C9043F">
        <w:rPr>
          <w:rFonts w:ascii="Times New Roman" w:eastAsia="Times New Roman" w:hAnsi="Times New Roman" w:cs="Times New Roman"/>
          <w:b/>
          <w:i/>
          <w:iCs/>
          <w:color w:val="414141"/>
          <w:sz w:val="24"/>
          <w:szCs w:val="24"/>
          <w:vertAlign w:val="subscript"/>
        </w:rPr>
        <w:t>p</w:t>
      </w:r>
      <w:proofErr w:type="spellEnd"/>
      <w:r w:rsidR="00C9043F" w:rsidRPr="00C9043F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, over the six-year period</w:t>
      </w:r>
    </w:p>
    <w:p w14:paraId="40F7D703" w14:textId="2117F9CB" w:rsidR="00BE7F05" w:rsidRDefault="00BE7F05" w:rsidP="00BE7F05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i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414141"/>
          <w:sz w:val="24"/>
          <w:szCs w:val="24"/>
        </w:rPr>
        <w:t>Table 2; Average Portfolio Return over the Six-Year Period</w:t>
      </w:r>
    </w:p>
    <w:tbl>
      <w:tblPr>
        <w:tblW w:w="774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2460"/>
        <w:gridCol w:w="2400"/>
      </w:tblGrid>
      <w:tr w:rsidR="00BE7F05" w:rsidRPr="00BE7F05" w14:paraId="4164A617" w14:textId="77777777" w:rsidTr="00BE7F05">
        <w:trPr>
          <w:trHeight w:val="6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3F74F" w14:textId="77777777" w:rsidR="00BE7F05" w:rsidRPr="00BE7F05" w:rsidRDefault="00BE7F05" w:rsidP="00BE7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365EB" w14:textId="77777777" w:rsidR="00BE7F05" w:rsidRPr="00BE7F05" w:rsidRDefault="00BE7F05" w:rsidP="00BE7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Projected Return (%)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C881" w14:textId="53A3F012" w:rsidR="00BE7F05" w:rsidRPr="00BE7F05" w:rsidRDefault="00BE7F05" w:rsidP="00764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 xml:space="preserve">expected </w:t>
            </w:r>
            <w:r w:rsidR="00764A73">
              <w:rPr>
                <w:rFonts w:ascii="Calibri" w:eastAsia="Times New Roman" w:hAnsi="Calibri" w:cs="Calibri"/>
                <w:color w:val="000000"/>
              </w:rPr>
              <w:t>return on portfolio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D86D" w14:textId="710A90B0" w:rsidR="00BE7F05" w:rsidRPr="00BE7F05" w:rsidRDefault="00BE7F05" w:rsidP="00764A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Average</w:t>
            </w:r>
            <w:r w:rsidR="00764A73">
              <w:rPr>
                <w:rFonts w:ascii="Calibri" w:eastAsia="Times New Roman" w:hAnsi="Calibri" w:cs="Calibri"/>
                <w:color w:val="000000"/>
              </w:rPr>
              <w:t xml:space="preserve"> Return on Portfolio </w:t>
            </w:r>
          </w:p>
        </w:tc>
      </w:tr>
      <w:tr w:rsidR="00BE7F05" w:rsidRPr="00BE7F05" w14:paraId="6C6CDF67" w14:textId="77777777" w:rsidTr="00BE7F05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487B0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641C7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65D23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M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8FEC7F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70835F" w14:textId="77777777" w:rsidR="00BE7F05" w:rsidRPr="00BE7F05" w:rsidRDefault="00BE7F05" w:rsidP="00BE7F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E7F05" w:rsidRPr="00BE7F05" w14:paraId="503A775B" w14:textId="77777777" w:rsidTr="00BE7F05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C3510E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094973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37F90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BFC1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17.60%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36467A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-0.068</w:t>
            </w:r>
          </w:p>
        </w:tc>
      </w:tr>
      <w:tr w:rsidR="00BE7F05" w:rsidRPr="00BE7F05" w14:paraId="0424F921" w14:textId="77777777" w:rsidTr="00BE7F05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1D15F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CA1841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1614A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18%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0809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16.40%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E1704ED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-0.024</w:t>
            </w:r>
          </w:p>
        </w:tc>
      </w:tr>
      <w:tr w:rsidR="00BE7F05" w:rsidRPr="00BE7F05" w14:paraId="43131977" w14:textId="77777777" w:rsidTr="00BE7F05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61239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5E720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0AF56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16%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41A0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16.00%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7A94043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-0.050</w:t>
            </w:r>
          </w:p>
        </w:tc>
      </w:tr>
      <w:tr w:rsidR="00BE7F05" w:rsidRPr="00BE7F05" w14:paraId="67AC048A" w14:textId="77777777" w:rsidTr="00BE7F05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4BCE0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8EC4A0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A1381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0C8F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15.20%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CDBBD7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-0.079</w:t>
            </w:r>
          </w:p>
        </w:tc>
      </w:tr>
      <w:tr w:rsidR="00BE7F05" w:rsidRPr="00BE7F05" w14:paraId="7604A73C" w14:textId="77777777" w:rsidTr="00BE7F05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70F61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55CFA2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B5A0E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12%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D3FA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14.00%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1F318A1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-0.029</w:t>
            </w:r>
          </w:p>
        </w:tc>
      </w:tr>
      <w:tr w:rsidR="00BE7F05" w:rsidRPr="00BE7F05" w14:paraId="70D19B96" w14:textId="77777777" w:rsidTr="00BE7F05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0A554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235D02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3F93B" w14:textId="77777777" w:rsidR="00BE7F05" w:rsidRPr="00BE7F05" w:rsidRDefault="00BE7F05" w:rsidP="00BE7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BE7F05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10%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2EAA" w14:textId="77777777" w:rsidR="00BE7F05" w:rsidRPr="00BE7F05" w:rsidRDefault="00BE7F05" w:rsidP="00BE7F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13.60%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0A40E9E" w14:textId="77777777" w:rsidR="00BE7F05" w:rsidRPr="00BE7F05" w:rsidRDefault="00BE7F05" w:rsidP="00BE7F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E7F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2295217C" w14:textId="7DE7B2EE" w:rsidR="00F6310C" w:rsidRDefault="00A55868" w:rsidP="0058350E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Computing the</w:t>
      </w:r>
      <w:r w:rsidR="006F071B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average portfolio return 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provides a detailed assessment about the performance of the portfolios over the period of years. T</w:t>
      </w:r>
      <w:r w:rsidR="00B42EC1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able 2 above facilitates the investment manager to quantify the actual changes in the expected </w:t>
      </w:r>
      <w:r w:rsidR="00764A73">
        <w:rPr>
          <w:rFonts w:ascii="Times New Roman" w:eastAsia="Times New Roman" w:hAnsi="Times New Roman" w:cs="Times New Roman"/>
          <w:color w:val="414141"/>
          <w:sz w:val="24"/>
          <w:szCs w:val="24"/>
        </w:rPr>
        <w:t>return</w:t>
      </w:r>
      <w:r w:rsidR="002422CF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. Evidently, </w:t>
      </w:r>
      <w:r w:rsidR="001279AF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the largest change in expected return relates to year </w:t>
      </w:r>
      <w:r w:rsidR="005746CC">
        <w:rPr>
          <w:rFonts w:ascii="Times New Roman" w:eastAsia="Times New Roman" w:hAnsi="Times New Roman" w:cs="Times New Roman"/>
          <w:color w:val="414141"/>
          <w:sz w:val="24"/>
          <w:szCs w:val="24"/>
        </w:rPr>
        <w:t>2021 and 2022</w:t>
      </w:r>
      <w:r w:rsidR="00B51508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characterized by a drop of 0.079%. However, the portfolios experience a</w:t>
      </w:r>
      <w:r w:rsidR="00E410E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significant improvement in the years</w:t>
      </w:r>
      <w:r w:rsidR="0058350E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2019 </w:t>
      </w:r>
      <w:r w:rsidR="00D8519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and 2022 </w:t>
      </w:r>
      <w:r w:rsidR="00E410E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because the </w:t>
      </w:r>
      <w:r w:rsidR="00D8519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level of return decline by 0.024% and </w:t>
      </w:r>
      <w:r w:rsidR="0058350E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0.029% respectively. Therefore, computing the average portfolio return provides adequate data to enhance decision-making because it </w:t>
      </w:r>
      <w:r w:rsidR="00F6310C">
        <w:rPr>
          <w:rFonts w:ascii="Times New Roman" w:eastAsia="Times New Roman" w:hAnsi="Times New Roman" w:cs="Times New Roman"/>
          <w:color w:val="414141"/>
          <w:sz w:val="24"/>
          <w:szCs w:val="24"/>
        </w:rPr>
        <w:t>quantifies</w:t>
      </w:r>
      <w:r w:rsidR="0058350E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the actual changes in the </w:t>
      </w:r>
      <w:r w:rsidR="00F6310C">
        <w:rPr>
          <w:rFonts w:ascii="Times New Roman" w:eastAsia="Times New Roman" w:hAnsi="Times New Roman" w:cs="Times New Roman"/>
          <w:color w:val="414141"/>
          <w:sz w:val="24"/>
          <w:szCs w:val="24"/>
        </w:rPr>
        <w:t>expected return on portfolios</w:t>
      </w:r>
      <w:r w:rsidR="007E0301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(</w:t>
      </w:r>
      <w:r w:rsidR="007E0301" w:rsidRPr="00075B10">
        <w:rPr>
          <w:rFonts w:ascii="Times New Roman" w:hAnsi="Times New Roman" w:cs="Times New Roman"/>
          <w:sz w:val="24"/>
          <w:szCs w:val="24"/>
        </w:rPr>
        <w:t>Taylor, 2018</w:t>
      </w:r>
      <w:r w:rsidR="007E0301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F6310C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. </w:t>
      </w:r>
    </w:p>
    <w:p w14:paraId="6502AFD9" w14:textId="7470948C" w:rsidR="00F6310C" w:rsidRPr="00471DC0" w:rsidRDefault="00F6310C" w:rsidP="0058350E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The formula to compute the average expected return on portfolio = (portfolio value in the next year </w:t>
      </w:r>
      <w:r w:rsidR="00187E4F" w:rsidRPr="00026979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187E4F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portfolio value in the previous period) </w:t>
      </w:r>
      <w:r w:rsidR="00187E4F" w:rsidRPr="00026979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÷ </w:t>
      </w:r>
      <w:r w:rsidR="00187E4F">
        <w:rPr>
          <w:rFonts w:ascii="Times New Roman" w:eastAsia="Times New Roman" w:hAnsi="Times New Roman" w:cs="Times New Roman"/>
          <w:color w:val="414141"/>
          <w:sz w:val="24"/>
          <w:szCs w:val="24"/>
        </w:rPr>
        <w:t>portfolio v</w:t>
      </w:r>
      <w:r w:rsidR="00026979">
        <w:rPr>
          <w:rFonts w:ascii="Times New Roman" w:eastAsia="Times New Roman" w:hAnsi="Times New Roman" w:cs="Times New Roman"/>
          <w:color w:val="414141"/>
          <w:sz w:val="24"/>
          <w:szCs w:val="24"/>
        </w:rPr>
        <w:t>alue in the previous period</w:t>
      </w:r>
    </w:p>
    <w:p w14:paraId="5CA25AD4" w14:textId="381EE299" w:rsidR="005646F3" w:rsidRPr="00CC7B4E" w:rsidRDefault="005646F3" w:rsidP="00471D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ind w:left="1020"/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</w:pPr>
      <w:r w:rsidRPr="00CC7B4E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Use an Excel spreadsheet to calculate the standard deviation of expected portfolio returns, </w:t>
      </w:r>
      <w:proofErr w:type="spellStart"/>
      <w:r w:rsidRPr="00CC7B4E">
        <w:rPr>
          <w:rFonts w:ascii="Times New Roman" w:eastAsia="Times New Roman" w:hAnsi="Times New Roman" w:cs="Times New Roman"/>
          <w:b/>
          <w:i/>
          <w:iCs/>
          <w:color w:val="414141"/>
          <w:sz w:val="24"/>
          <w:szCs w:val="24"/>
        </w:rPr>
        <w:t>s</w:t>
      </w:r>
      <w:r w:rsidRPr="00CC7B4E">
        <w:rPr>
          <w:rFonts w:ascii="Times New Roman" w:eastAsia="Times New Roman" w:hAnsi="Times New Roman" w:cs="Times New Roman"/>
          <w:b/>
          <w:i/>
          <w:iCs/>
          <w:color w:val="414141"/>
          <w:sz w:val="24"/>
          <w:szCs w:val="24"/>
          <w:vertAlign w:val="subscript"/>
        </w:rPr>
        <w:t>p</w:t>
      </w:r>
      <w:proofErr w:type="spellEnd"/>
      <w:r w:rsidR="00CC7B4E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, over the six-year period</w:t>
      </w:r>
    </w:p>
    <w:p w14:paraId="3FDCD665" w14:textId="0CEB74A7" w:rsidR="00326430" w:rsidRDefault="00F85A27" w:rsidP="00326430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i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414141"/>
          <w:sz w:val="24"/>
          <w:szCs w:val="24"/>
        </w:rPr>
        <w:t>Table 3: Standard Deviation of Expected Portfolio Return</w:t>
      </w:r>
    </w:p>
    <w:p w14:paraId="627A9DDE" w14:textId="77777777" w:rsidR="00F85A27" w:rsidRDefault="00F85A27" w:rsidP="00326430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i/>
          <w:color w:val="414141"/>
          <w:sz w:val="24"/>
          <w:szCs w:val="24"/>
        </w:rPr>
      </w:pPr>
    </w:p>
    <w:tbl>
      <w:tblPr>
        <w:tblW w:w="9289" w:type="dxa"/>
        <w:tblInd w:w="93" w:type="dxa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2207"/>
        <w:gridCol w:w="2553"/>
        <w:gridCol w:w="1766"/>
      </w:tblGrid>
      <w:tr w:rsidR="00F85A27" w:rsidRPr="00F85A27" w14:paraId="128E3C0F" w14:textId="77777777" w:rsidTr="00F85A27">
        <w:trPr>
          <w:trHeight w:val="457"/>
        </w:trPr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7E396" w14:textId="77777777" w:rsidR="00F85A27" w:rsidRPr="00F85A27" w:rsidRDefault="00F85A27" w:rsidP="00F85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2B90D" w14:textId="77777777" w:rsidR="00F85A27" w:rsidRPr="00F85A27" w:rsidRDefault="00F85A27" w:rsidP="00F85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Projected Return (%)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91ED1C" w14:textId="77777777" w:rsidR="00F85A27" w:rsidRPr="00F85A27" w:rsidRDefault="00F85A27" w:rsidP="00F85A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Expected Return on Portfolio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2064B" w14:textId="77777777" w:rsidR="00F85A27" w:rsidRPr="00F85A27" w:rsidRDefault="00F85A27" w:rsidP="00F85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Average Return on Portfolio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73F82AC8" w14:textId="77777777" w:rsidR="00F85A27" w:rsidRPr="00F85A27" w:rsidRDefault="00F85A27" w:rsidP="00F85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Standard Deviation</w:t>
            </w:r>
          </w:p>
        </w:tc>
      </w:tr>
      <w:tr w:rsidR="00F85A27" w:rsidRPr="00F85A27" w14:paraId="19D47461" w14:textId="77777777" w:rsidTr="00F85A27">
        <w:trPr>
          <w:trHeight w:val="239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2D999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Year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2ADBC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L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FAF08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M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AA66A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F088C" w14:textId="77777777" w:rsidR="00F85A27" w:rsidRPr="00F85A27" w:rsidRDefault="00F85A27" w:rsidP="00F85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6987CD1B" w14:textId="77777777" w:rsidR="00F85A27" w:rsidRPr="00F85A27" w:rsidRDefault="00F85A27" w:rsidP="00F85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85A27" w:rsidRPr="00F85A27" w14:paraId="72530EB8" w14:textId="77777777" w:rsidTr="00F85A27">
        <w:trPr>
          <w:trHeight w:val="239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1727A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15F81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899FA5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20%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573A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17.60%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5478E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-0.068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036D340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36.72</w:t>
            </w:r>
          </w:p>
        </w:tc>
      </w:tr>
      <w:tr w:rsidR="00F85A27" w:rsidRPr="00F85A27" w14:paraId="420FEB2E" w14:textId="77777777" w:rsidTr="00F85A27">
        <w:trPr>
          <w:trHeight w:val="239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8AC31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2019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2BDAE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5362A6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18%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5B1D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16.40%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03517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-0.024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224166C2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37.76</w:t>
            </w:r>
          </w:p>
        </w:tc>
      </w:tr>
      <w:tr w:rsidR="00F85A27" w:rsidRPr="00F85A27" w14:paraId="214119F4" w14:textId="77777777" w:rsidTr="00F85A27">
        <w:trPr>
          <w:trHeight w:val="239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E2138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0D558E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16%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81E4D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16%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3129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16.00%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DCCC8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-0.050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7C5FB29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38.00</w:t>
            </w:r>
          </w:p>
        </w:tc>
      </w:tr>
      <w:tr w:rsidR="00F85A27" w:rsidRPr="00F85A27" w14:paraId="433B9E21" w14:textId="77777777" w:rsidTr="00F85A27">
        <w:trPr>
          <w:trHeight w:val="239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8D791C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6C0E5A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17%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6F4ABF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14%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2FC4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15.20%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C5CC1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-0.079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59F16D5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38.8</w:t>
            </w:r>
          </w:p>
        </w:tc>
      </w:tr>
      <w:tr w:rsidR="00F85A27" w:rsidRPr="00F85A27" w14:paraId="3FC62787" w14:textId="77777777" w:rsidTr="00F85A27">
        <w:trPr>
          <w:trHeight w:val="239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2E2D08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26BF7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17%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74B752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12%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C7C5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14.00%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17128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-0.029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A3F0C42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40.00</w:t>
            </w:r>
          </w:p>
        </w:tc>
      </w:tr>
      <w:tr w:rsidR="00F85A27" w:rsidRPr="00F85A27" w14:paraId="40DC677B" w14:textId="77777777" w:rsidTr="00F85A27">
        <w:trPr>
          <w:trHeight w:val="239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740EF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2023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B2D0F6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19%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759CA" w14:textId="77777777" w:rsidR="00F85A27" w:rsidRPr="00F85A27" w:rsidRDefault="00F85A27" w:rsidP="00F8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F85A27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10%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6DDA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13.60%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F2B5F" w14:textId="77777777" w:rsidR="00F85A27" w:rsidRPr="00F85A27" w:rsidRDefault="00F85A27" w:rsidP="00F85A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4C8FB9EC" w14:textId="77777777" w:rsidR="00F85A27" w:rsidRPr="00F85A27" w:rsidRDefault="00F85A27" w:rsidP="00F85A2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A27">
              <w:rPr>
                <w:rFonts w:ascii="Calibri" w:eastAsia="Times New Roman" w:hAnsi="Calibri" w:cs="Calibri"/>
                <w:color w:val="000000"/>
              </w:rPr>
              <w:t>40.00</w:t>
            </w:r>
          </w:p>
        </w:tc>
      </w:tr>
    </w:tbl>
    <w:p w14:paraId="404407C9" w14:textId="034A40A3" w:rsidR="00F85A27" w:rsidRDefault="003D0CFF" w:rsidP="00326430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ab/>
        <w:t xml:space="preserve">A standard deviation </w:t>
      </w:r>
      <w:r w:rsidR="00DC619E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refers to the measure of dispersion </w:t>
      </w:r>
      <w:r w:rsidR="00EB7D70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of the data from the mean. The standard deviation </w:t>
      </w:r>
      <w:proofErr w:type="gramStart"/>
      <w:r w:rsidR="00EB7D70">
        <w:rPr>
          <w:rFonts w:ascii="Times New Roman" w:eastAsia="Times New Roman" w:hAnsi="Times New Roman" w:cs="Times New Roman"/>
          <w:color w:val="414141"/>
          <w:sz w:val="24"/>
          <w:szCs w:val="24"/>
        </w:rPr>
        <w:t>is computed</w:t>
      </w:r>
      <w:proofErr w:type="gramEnd"/>
      <w:r w:rsidR="00EB7D70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as the square root of the variance. From a financial point of view, the standard deviation </w:t>
      </w:r>
      <w:proofErr w:type="gramStart"/>
      <w:r w:rsidR="0038245B">
        <w:rPr>
          <w:rFonts w:ascii="Times New Roman" w:eastAsia="Times New Roman" w:hAnsi="Times New Roman" w:cs="Times New Roman"/>
          <w:color w:val="414141"/>
          <w:sz w:val="24"/>
          <w:szCs w:val="24"/>
        </w:rPr>
        <w:t>can be applied</w:t>
      </w:r>
      <w:proofErr w:type="gramEnd"/>
      <w:r w:rsidR="0038245B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to determine the volatility of investment portfolio </w:t>
      </w:r>
      <w:r w:rsidR="00C03087">
        <w:rPr>
          <w:rFonts w:ascii="Times New Roman" w:eastAsia="Times New Roman" w:hAnsi="Times New Roman" w:cs="Times New Roman"/>
          <w:color w:val="414141"/>
          <w:sz w:val="24"/>
          <w:szCs w:val="24"/>
        </w:rPr>
        <w:t>using the historical data to predict the volatility of the portfolio</w:t>
      </w:r>
      <w:r w:rsidR="00CC7B4E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(Baron, 2013)</w:t>
      </w:r>
      <w:r w:rsidR="00C03087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. </w:t>
      </w:r>
    </w:p>
    <w:p w14:paraId="61942054" w14:textId="16844F34" w:rsidR="00C03087" w:rsidRPr="00F85A27" w:rsidRDefault="00C03087" w:rsidP="00326430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ab/>
        <w:t xml:space="preserve">Table 3 above </w:t>
      </w:r>
      <w:r w:rsidR="00017C21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reveals a small dispersion over the six years because it ranges from 36.72% to 40.00%. </w:t>
      </w:r>
      <w:r w:rsidR="00B8368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Further, </w:t>
      </w:r>
      <w:r w:rsidR="0070675C">
        <w:rPr>
          <w:rFonts w:ascii="Times New Roman" w:eastAsia="Times New Roman" w:hAnsi="Times New Roman" w:cs="Times New Roman"/>
          <w:color w:val="414141"/>
          <w:sz w:val="24"/>
          <w:szCs w:val="24"/>
        </w:rPr>
        <w:t>a close s</w:t>
      </w:r>
      <w:r w:rsidR="00116E69">
        <w:rPr>
          <w:rFonts w:ascii="Times New Roman" w:eastAsia="Times New Roman" w:hAnsi="Times New Roman" w:cs="Times New Roman"/>
          <w:color w:val="414141"/>
          <w:sz w:val="24"/>
          <w:szCs w:val="24"/>
        </w:rPr>
        <w:t>tandard deviation indicates the actual return on investment diverse slightly from the expected return on portfolio</w:t>
      </w:r>
      <w:r w:rsidR="00CC7B4E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(</w:t>
      </w:r>
      <w:r w:rsidR="00CC7B4E">
        <w:rPr>
          <w:rFonts w:ascii="Times New Roman" w:hAnsi="Times New Roman" w:cs="Times New Roman"/>
          <w:sz w:val="24"/>
          <w:szCs w:val="24"/>
        </w:rPr>
        <w:t xml:space="preserve">Taylor, </w:t>
      </w:r>
      <w:r w:rsidR="00CC7B4E" w:rsidRPr="00075B10">
        <w:rPr>
          <w:rFonts w:ascii="Times New Roman" w:hAnsi="Times New Roman" w:cs="Times New Roman"/>
          <w:sz w:val="24"/>
          <w:szCs w:val="24"/>
        </w:rPr>
        <w:t>2018</w:t>
      </w:r>
      <w:r w:rsidR="00CC7B4E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116E69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. </w:t>
      </w:r>
    </w:p>
    <w:p w14:paraId="5B8371AC" w14:textId="77777777" w:rsidR="005646F3" w:rsidRPr="00CC7B4E" w:rsidRDefault="005646F3" w:rsidP="00CC7B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ind w:left="1020"/>
        <w:jc w:val="center"/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</w:pPr>
      <w:r w:rsidRPr="00CC7B4E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How would you characterize the correlation of returns of the assets L and M?</w:t>
      </w:r>
    </w:p>
    <w:p w14:paraId="1DFFAF2E" w14:textId="2AAACFA0" w:rsidR="00026979" w:rsidRDefault="00D54092" w:rsidP="009B56C8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i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414141"/>
          <w:sz w:val="24"/>
          <w:szCs w:val="24"/>
        </w:rPr>
        <w:t>Table 4: Correlation of Return of Asset L and Asset M</w:t>
      </w:r>
    </w:p>
    <w:tbl>
      <w:tblPr>
        <w:tblW w:w="6924" w:type="dxa"/>
        <w:tblInd w:w="93" w:type="dxa"/>
        <w:tblLook w:val="04A0" w:firstRow="1" w:lastRow="0" w:firstColumn="1" w:lastColumn="0" w:noHBand="0" w:noVBand="1"/>
      </w:tblPr>
      <w:tblGrid>
        <w:gridCol w:w="2352"/>
        <w:gridCol w:w="2013"/>
        <w:gridCol w:w="2559"/>
      </w:tblGrid>
      <w:tr w:rsidR="00D54092" w:rsidRPr="00D54092" w14:paraId="3E06461D" w14:textId="77777777" w:rsidTr="00D54092">
        <w:trPr>
          <w:trHeight w:val="455"/>
        </w:trPr>
        <w:tc>
          <w:tcPr>
            <w:tcW w:w="6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FC7D" w14:textId="77BAA718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Correlation of return of asset L and M</w:t>
            </w:r>
          </w:p>
        </w:tc>
      </w:tr>
      <w:tr w:rsidR="00D54092" w:rsidRPr="00D54092" w14:paraId="43206DB2" w14:textId="77777777" w:rsidTr="00D54092">
        <w:trPr>
          <w:trHeight w:val="249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CA65F" w14:textId="77777777" w:rsidR="00D54092" w:rsidRPr="00D54092" w:rsidRDefault="00D54092" w:rsidP="00D54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D54092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474A34" w14:textId="77777777" w:rsidR="00D54092" w:rsidRPr="00D54092" w:rsidRDefault="00D54092" w:rsidP="00D54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</w:pPr>
            <w:r w:rsidRPr="00D54092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</w:rPr>
              <w:t>ASSET M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6F82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4092" w:rsidRPr="00D54092" w14:paraId="473DFB90" w14:textId="77777777" w:rsidTr="00D54092">
        <w:trPr>
          <w:trHeight w:val="238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2A98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22.4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ED66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42.4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3645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4092" w:rsidRPr="00D54092" w14:paraId="2ACB4A3B" w14:textId="77777777" w:rsidTr="00D54092">
        <w:trPr>
          <w:trHeight w:val="238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9EF3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23.6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AFBD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43.6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A8E0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4092" w:rsidRPr="00D54092" w14:paraId="6C7C50C2" w14:textId="77777777" w:rsidTr="00D54092">
        <w:trPr>
          <w:trHeight w:val="238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7D65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5BDE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14C3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4092" w:rsidRPr="00D54092" w14:paraId="181DE85E" w14:textId="77777777" w:rsidTr="00D54092">
        <w:trPr>
          <w:trHeight w:val="238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0D19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24.8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6434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44.8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FCED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4092" w:rsidRPr="00D54092" w14:paraId="04AE30E4" w14:textId="77777777" w:rsidTr="00D54092">
        <w:trPr>
          <w:trHeight w:val="238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1093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BA9C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B907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4092" w:rsidRPr="00D54092" w14:paraId="3B0E8A9C" w14:textId="77777777" w:rsidTr="00D54092">
        <w:trPr>
          <w:trHeight w:val="238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4B29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26.4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E1D71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3EB5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4092" w:rsidRPr="00D54092" w14:paraId="79DC4D08" w14:textId="77777777" w:rsidTr="00D54092">
        <w:trPr>
          <w:trHeight w:val="216"/>
        </w:trPr>
        <w:tc>
          <w:tcPr>
            <w:tcW w:w="23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848E1" w14:textId="77777777" w:rsidR="00D54092" w:rsidRPr="00D54092" w:rsidRDefault="00D54092" w:rsidP="00D54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54092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20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0C125" w14:textId="77777777" w:rsidR="00D54092" w:rsidRPr="00D54092" w:rsidRDefault="00D54092" w:rsidP="00D54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54092">
              <w:rPr>
                <w:rFonts w:ascii="Calibri" w:eastAsia="Times New Roman" w:hAnsi="Calibri" w:cs="Calibri"/>
                <w:i/>
                <w:iCs/>
                <w:color w:val="000000"/>
              </w:rPr>
              <w:t>ASSET L</w:t>
            </w:r>
          </w:p>
        </w:tc>
        <w:tc>
          <w:tcPr>
            <w:tcW w:w="2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E8761" w14:textId="77777777" w:rsidR="00D54092" w:rsidRPr="00D54092" w:rsidRDefault="00D54092" w:rsidP="00D54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D54092">
              <w:rPr>
                <w:rFonts w:ascii="Calibri" w:eastAsia="Times New Roman" w:hAnsi="Calibri" w:cs="Calibri"/>
                <w:i/>
                <w:iCs/>
                <w:color w:val="000000"/>
              </w:rPr>
              <w:t>ASSET M</w:t>
            </w:r>
          </w:p>
        </w:tc>
      </w:tr>
      <w:tr w:rsidR="00D54092" w:rsidRPr="00D54092" w14:paraId="558A386A" w14:textId="77777777" w:rsidTr="00D54092">
        <w:trPr>
          <w:trHeight w:val="21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1FFA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ASSET 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631B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5DFDE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54092" w:rsidRPr="00D54092" w14:paraId="1F40AFDE" w14:textId="77777777" w:rsidTr="00D54092">
        <w:trPr>
          <w:trHeight w:val="227"/>
        </w:trPr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32296" w14:textId="77777777" w:rsidR="00D54092" w:rsidRPr="00D54092" w:rsidRDefault="00D54092" w:rsidP="00D54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ASSET M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2936F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0.9957892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ED2FB" w14:textId="77777777" w:rsidR="00D54092" w:rsidRPr="00D54092" w:rsidRDefault="00D54092" w:rsidP="00D5409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40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</w:tbl>
    <w:p w14:paraId="70C961A2" w14:textId="148A32BB" w:rsidR="00D54092" w:rsidRPr="008D665E" w:rsidRDefault="008D665E" w:rsidP="009B56C8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ab/>
        <w:t>Table 4 reveals a strong correlation</w:t>
      </w:r>
      <w:r w:rsidR="00452501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coefficient of </w:t>
      </w:r>
      <w:r w:rsidR="00452501" w:rsidRPr="00452501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R=0.9957</w:t>
      </w:r>
      <w:r w:rsidR="00452501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on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return of Asset L and Asset M</w:t>
      </w:r>
      <w:r w:rsidR="007C5475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. A strong and positive correlation implies the return of portfolio L </w:t>
      </w:r>
      <w:r w:rsidR="00A82402">
        <w:rPr>
          <w:rFonts w:ascii="Times New Roman" w:eastAsia="Times New Roman" w:hAnsi="Times New Roman" w:cs="Times New Roman"/>
          <w:color w:val="414141"/>
          <w:sz w:val="24"/>
          <w:szCs w:val="24"/>
        </w:rPr>
        <w:t>have a perfect relationship with</w:t>
      </w:r>
      <w:r w:rsidR="00FA1A8F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A</w:t>
      </w:r>
      <w:r w:rsidR="007C5475">
        <w:rPr>
          <w:rFonts w:ascii="Times New Roman" w:eastAsia="Times New Roman" w:hAnsi="Times New Roman" w:cs="Times New Roman"/>
          <w:color w:val="414141"/>
          <w:sz w:val="24"/>
          <w:szCs w:val="24"/>
        </w:rPr>
        <w:t>sset M</w:t>
      </w:r>
      <w:r w:rsidR="00F300F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(</w:t>
      </w:r>
      <w:r w:rsidR="00F300F6" w:rsidRPr="00075B10">
        <w:rPr>
          <w:rFonts w:ascii="Times New Roman" w:hAnsi="Times New Roman" w:cs="Times New Roman"/>
          <w:sz w:val="24"/>
          <w:szCs w:val="24"/>
        </w:rPr>
        <w:t>Bacon, 2013</w:t>
      </w:r>
      <w:r w:rsidR="00F300F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7C5475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. </w:t>
      </w:r>
      <w:r w:rsidR="00FA1A8F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Therefore, a rise in return of Asset L causes an equal increment </w:t>
      </w:r>
      <w:r w:rsidR="008B13D1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of portfolio M. </w:t>
      </w:r>
    </w:p>
    <w:p w14:paraId="5CACBA96" w14:textId="424DFB11" w:rsidR="005646F3" w:rsidRPr="00CC7B4E" w:rsidRDefault="005646F3" w:rsidP="00CC7B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ind w:left="1020"/>
        <w:jc w:val="center"/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</w:pPr>
      <w:r w:rsidRPr="00CC7B4E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lastRenderedPageBreak/>
        <w:t>Discuss any benefits of diversification achieved th</w:t>
      </w:r>
      <w:r w:rsidR="008B13D1" w:rsidRPr="00CC7B4E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rough creation of the portfolio</w:t>
      </w:r>
    </w:p>
    <w:p w14:paraId="697EE3EE" w14:textId="31649629" w:rsidR="005646F3" w:rsidRPr="00A93026" w:rsidRDefault="005646F3" w:rsidP="00A930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1DC0">
        <w:t> </w:t>
      </w:r>
      <w:r w:rsidR="006D1943">
        <w:tab/>
      </w:r>
      <w:r w:rsidR="006D1943" w:rsidRPr="00A93026">
        <w:rPr>
          <w:rFonts w:ascii="Times New Roman" w:hAnsi="Times New Roman" w:cs="Times New Roman"/>
          <w:sz w:val="24"/>
          <w:szCs w:val="24"/>
        </w:rPr>
        <w:t xml:space="preserve">Portfolio diversification </w:t>
      </w:r>
      <w:r w:rsidR="00E51046" w:rsidRPr="00A93026">
        <w:rPr>
          <w:rFonts w:ascii="Times New Roman" w:hAnsi="Times New Roman" w:cs="Times New Roman"/>
          <w:sz w:val="24"/>
          <w:szCs w:val="24"/>
        </w:rPr>
        <w:t>is an integral investment principle that facilitates an in</w:t>
      </w:r>
      <w:r w:rsidR="00D234DD" w:rsidRPr="00A93026">
        <w:rPr>
          <w:rFonts w:ascii="Times New Roman" w:hAnsi="Times New Roman" w:cs="Times New Roman"/>
          <w:sz w:val="24"/>
          <w:szCs w:val="24"/>
        </w:rPr>
        <w:t>vestor to spread the risks by spreading across multiple assets</w:t>
      </w:r>
      <w:r w:rsidR="007F0481" w:rsidRPr="00A93026">
        <w:rPr>
          <w:rFonts w:ascii="Times New Roman" w:hAnsi="Times New Roman" w:cs="Times New Roman"/>
          <w:sz w:val="24"/>
          <w:szCs w:val="24"/>
        </w:rPr>
        <w:t>. The notable advantages of achieving diversification include man</w:t>
      </w:r>
      <w:bookmarkStart w:id="0" w:name="_GoBack"/>
      <w:bookmarkEnd w:id="0"/>
      <w:r w:rsidR="007F0481" w:rsidRPr="00A93026">
        <w:rPr>
          <w:rFonts w:ascii="Times New Roman" w:hAnsi="Times New Roman" w:cs="Times New Roman"/>
          <w:sz w:val="24"/>
          <w:szCs w:val="24"/>
        </w:rPr>
        <w:t>aging the risk of loss when one particular class of portfolio struggles to perform</w:t>
      </w:r>
      <w:r w:rsidR="00CC7B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C7B4E" w:rsidRPr="00075B10">
        <w:rPr>
          <w:rFonts w:ascii="Times New Roman" w:hAnsi="Times New Roman" w:cs="Times New Roman"/>
          <w:sz w:val="24"/>
          <w:szCs w:val="24"/>
        </w:rPr>
        <w:t>Yavas</w:t>
      </w:r>
      <w:proofErr w:type="spellEnd"/>
      <w:r w:rsidR="00CC7B4E" w:rsidRPr="00075B10">
        <w:rPr>
          <w:rFonts w:ascii="Times New Roman" w:hAnsi="Times New Roman" w:cs="Times New Roman"/>
          <w:sz w:val="24"/>
          <w:szCs w:val="24"/>
        </w:rPr>
        <w:t>, 2007</w:t>
      </w:r>
      <w:r w:rsidR="00CC7B4E">
        <w:rPr>
          <w:rFonts w:ascii="Times New Roman" w:hAnsi="Times New Roman" w:cs="Times New Roman"/>
          <w:sz w:val="24"/>
          <w:szCs w:val="24"/>
        </w:rPr>
        <w:t>)</w:t>
      </w:r>
      <w:r w:rsidR="007F0481" w:rsidRPr="00A93026">
        <w:rPr>
          <w:rFonts w:ascii="Times New Roman" w:hAnsi="Times New Roman" w:cs="Times New Roman"/>
          <w:sz w:val="24"/>
          <w:szCs w:val="24"/>
        </w:rPr>
        <w:t xml:space="preserve">. Essentially, the portfolio L and M exhibit </w:t>
      </w:r>
      <w:r w:rsidR="002E6FDC" w:rsidRPr="00A93026">
        <w:rPr>
          <w:rFonts w:ascii="Times New Roman" w:hAnsi="Times New Roman" w:cs="Times New Roman"/>
          <w:sz w:val="24"/>
          <w:szCs w:val="24"/>
        </w:rPr>
        <w:t>a perfect correlation relationship, which enhance the risk management. Secondly, diversification facilitates preservation of capital</w:t>
      </w:r>
      <w:r w:rsidR="00D31172" w:rsidRPr="00A93026">
        <w:rPr>
          <w:rFonts w:ascii="Times New Roman" w:hAnsi="Times New Roman" w:cs="Times New Roman"/>
          <w:sz w:val="24"/>
          <w:szCs w:val="24"/>
        </w:rPr>
        <w:t xml:space="preserve"> because it preserve saving.</w:t>
      </w:r>
    </w:p>
    <w:p w14:paraId="16F02C42" w14:textId="77777777" w:rsidR="00075B10" w:rsidRDefault="00075B10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EA8CF" w14:textId="77777777" w:rsidR="00075B10" w:rsidRDefault="00075B10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FED5F4" w14:textId="77777777" w:rsidR="00075B10" w:rsidRDefault="00075B10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62D9CB" w14:textId="77777777" w:rsidR="00075B10" w:rsidRDefault="00075B10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4A06A7" w14:textId="77777777" w:rsidR="00075B10" w:rsidRDefault="00075B10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EE2091" w14:textId="77777777" w:rsidR="00075B10" w:rsidRDefault="00075B10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6423BB" w14:textId="77777777" w:rsidR="00075B10" w:rsidRDefault="00075B10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BB9A98" w14:textId="77777777" w:rsidR="00075B10" w:rsidRDefault="00075B10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269501" w14:textId="77777777" w:rsidR="00075B10" w:rsidRDefault="00075B10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807751" w14:textId="77777777" w:rsidR="00F941EB" w:rsidRDefault="00F941EB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6E0A2E" w14:textId="77777777" w:rsidR="00F941EB" w:rsidRDefault="00F941EB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989EA" w14:textId="77777777" w:rsidR="00F941EB" w:rsidRDefault="00F941EB" w:rsidP="00A930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FB20B0" w14:textId="464152EE" w:rsidR="005646F3" w:rsidRPr="00A93026" w:rsidRDefault="00667251" w:rsidP="00075B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302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0A8D172" w14:textId="2D07D7CF" w:rsidR="00075B10" w:rsidRPr="00075B10" w:rsidRDefault="00075B10" w:rsidP="00075B10">
      <w:pPr>
        <w:shd w:val="clear" w:color="auto" w:fill="FFFFFF"/>
        <w:spacing w:after="150" w:line="480" w:lineRule="auto"/>
        <w:ind w:left="720" w:hanging="72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075B10">
        <w:rPr>
          <w:rFonts w:ascii="Times New Roman" w:hAnsi="Times New Roman" w:cs="Times New Roman"/>
          <w:sz w:val="24"/>
          <w:szCs w:val="24"/>
        </w:rPr>
        <w:t xml:space="preserve">Bacon, R. (2013). </w:t>
      </w:r>
      <w:proofErr w:type="gramStart"/>
      <w:r w:rsidRPr="00075B10">
        <w:rPr>
          <w:rFonts w:ascii="Times New Roman" w:hAnsi="Times New Roman" w:cs="Times New Roman"/>
          <w:i/>
          <w:iCs/>
          <w:sz w:val="24"/>
          <w:szCs w:val="24"/>
        </w:rPr>
        <w:t>Practical portfolio performance measurement and attribution</w:t>
      </w:r>
      <w:r w:rsidRPr="00075B1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75B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5B10">
        <w:rPr>
          <w:rFonts w:ascii="Times New Roman" w:hAnsi="Times New Roman" w:cs="Times New Roman"/>
          <w:sz w:val="24"/>
          <w:szCs w:val="24"/>
        </w:rPr>
        <w:t>Hoboken, N.J: Wiley.</w:t>
      </w:r>
      <w:proofErr w:type="gramEnd"/>
    </w:p>
    <w:p w14:paraId="5777C5C6" w14:textId="77777777" w:rsidR="00075B10" w:rsidRPr="00075B10" w:rsidRDefault="00075B10" w:rsidP="00075B1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75B10">
        <w:rPr>
          <w:rFonts w:ascii="Times New Roman" w:hAnsi="Times New Roman" w:cs="Times New Roman"/>
          <w:sz w:val="24"/>
          <w:szCs w:val="24"/>
        </w:rPr>
        <w:t>Taylor, C. (2018).</w:t>
      </w:r>
      <w:r w:rsidRPr="00075B10">
        <w:rPr>
          <w:rFonts w:ascii="Times New Roman" w:hAnsi="Times New Roman" w:cs="Times New Roman"/>
          <w:sz w:val="24"/>
          <w:szCs w:val="24"/>
        </w:rPr>
        <w:t xml:space="preserve">How to </w:t>
      </w:r>
      <w:r w:rsidRPr="00075B10">
        <w:rPr>
          <w:rFonts w:ascii="Times New Roman" w:hAnsi="Times New Roman" w:cs="Times New Roman"/>
          <w:sz w:val="24"/>
          <w:szCs w:val="24"/>
        </w:rPr>
        <w:t>c</w:t>
      </w:r>
      <w:r w:rsidRPr="00075B10">
        <w:rPr>
          <w:rFonts w:ascii="Times New Roman" w:hAnsi="Times New Roman" w:cs="Times New Roman"/>
          <w:sz w:val="24"/>
          <w:szCs w:val="24"/>
        </w:rPr>
        <w:t xml:space="preserve">alculate the </w:t>
      </w:r>
      <w:r w:rsidRPr="00075B10">
        <w:rPr>
          <w:rFonts w:ascii="Times New Roman" w:hAnsi="Times New Roman" w:cs="Times New Roman"/>
          <w:sz w:val="24"/>
          <w:szCs w:val="24"/>
        </w:rPr>
        <w:t>a</w:t>
      </w:r>
      <w:r w:rsidRPr="00075B10">
        <w:rPr>
          <w:rFonts w:ascii="Times New Roman" w:hAnsi="Times New Roman" w:cs="Times New Roman"/>
          <w:sz w:val="24"/>
          <w:szCs w:val="24"/>
        </w:rPr>
        <w:t xml:space="preserve">verage </w:t>
      </w:r>
      <w:r w:rsidRPr="00075B10">
        <w:rPr>
          <w:rFonts w:ascii="Times New Roman" w:hAnsi="Times New Roman" w:cs="Times New Roman"/>
          <w:sz w:val="24"/>
          <w:szCs w:val="24"/>
        </w:rPr>
        <w:t>r</w:t>
      </w:r>
      <w:r w:rsidRPr="00075B10">
        <w:rPr>
          <w:rFonts w:ascii="Times New Roman" w:hAnsi="Times New Roman" w:cs="Times New Roman"/>
          <w:sz w:val="24"/>
          <w:szCs w:val="24"/>
        </w:rPr>
        <w:t xml:space="preserve">eturn on a </w:t>
      </w:r>
      <w:r w:rsidRPr="00075B10">
        <w:rPr>
          <w:rFonts w:ascii="Times New Roman" w:hAnsi="Times New Roman" w:cs="Times New Roman"/>
          <w:sz w:val="24"/>
          <w:szCs w:val="24"/>
        </w:rPr>
        <w:t>p</w:t>
      </w:r>
      <w:r w:rsidRPr="00075B10">
        <w:rPr>
          <w:rFonts w:ascii="Times New Roman" w:hAnsi="Times New Roman" w:cs="Times New Roman"/>
          <w:sz w:val="24"/>
          <w:szCs w:val="24"/>
        </w:rPr>
        <w:t xml:space="preserve">ortfolio of </w:t>
      </w:r>
      <w:r w:rsidRPr="00075B10">
        <w:rPr>
          <w:rFonts w:ascii="Times New Roman" w:hAnsi="Times New Roman" w:cs="Times New Roman"/>
          <w:sz w:val="24"/>
          <w:szCs w:val="24"/>
        </w:rPr>
        <w:t>s</w:t>
      </w:r>
      <w:r w:rsidRPr="00075B10">
        <w:rPr>
          <w:rFonts w:ascii="Times New Roman" w:hAnsi="Times New Roman" w:cs="Times New Roman"/>
          <w:sz w:val="24"/>
          <w:szCs w:val="24"/>
        </w:rPr>
        <w:t>tocks</w:t>
      </w:r>
      <w:r w:rsidRPr="00075B10">
        <w:rPr>
          <w:rFonts w:ascii="Times New Roman" w:hAnsi="Times New Roman" w:cs="Times New Roman"/>
          <w:sz w:val="24"/>
          <w:szCs w:val="24"/>
        </w:rPr>
        <w:t xml:space="preserve">, </w:t>
      </w:r>
      <w:r w:rsidRPr="00075B10">
        <w:rPr>
          <w:rFonts w:ascii="Times New Roman" w:hAnsi="Times New Roman" w:cs="Times New Roman"/>
          <w:i/>
          <w:sz w:val="24"/>
          <w:szCs w:val="24"/>
        </w:rPr>
        <w:t>The Nest.</w:t>
      </w:r>
      <w:proofErr w:type="gramEnd"/>
      <w:r w:rsidRPr="00075B1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075B10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8" w:history="1">
        <w:r w:rsidRPr="00075B1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www.budgeting.thenest.com/calculate-average-return-portfolio-stocks-26921.html</w:t>
        </w:r>
      </w:hyperlink>
      <w:r w:rsidRPr="00075B10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075B10">
        <w:rPr>
          <w:rFonts w:ascii="Times New Roman" w:hAnsi="Times New Roman" w:cs="Times New Roman"/>
          <w:i/>
          <w:sz w:val="24"/>
          <w:szCs w:val="24"/>
        </w:rPr>
        <w:t xml:space="preserve"> [</w:t>
      </w:r>
      <w:r w:rsidRPr="00075B10">
        <w:rPr>
          <w:rFonts w:ascii="Times New Roman" w:hAnsi="Times New Roman" w:cs="Times New Roman"/>
          <w:sz w:val="24"/>
          <w:szCs w:val="24"/>
        </w:rPr>
        <w:t>Accessed September 9, 2018</w:t>
      </w:r>
      <w:r w:rsidRPr="00075B10">
        <w:rPr>
          <w:rFonts w:ascii="Times New Roman" w:hAnsi="Times New Roman" w:cs="Times New Roman"/>
          <w:i/>
          <w:sz w:val="24"/>
          <w:szCs w:val="24"/>
        </w:rPr>
        <w:t>]</w:t>
      </w:r>
    </w:p>
    <w:p w14:paraId="28EB2216" w14:textId="77777777" w:rsidR="00075B10" w:rsidRPr="00075B10" w:rsidRDefault="00075B10" w:rsidP="00075B1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75B10">
        <w:rPr>
          <w:rFonts w:ascii="Times New Roman" w:hAnsi="Times New Roman" w:cs="Times New Roman"/>
          <w:sz w:val="24"/>
          <w:szCs w:val="24"/>
        </w:rPr>
        <w:t>Yavas</w:t>
      </w:r>
      <w:proofErr w:type="spellEnd"/>
      <w:r w:rsidRPr="00075B10">
        <w:rPr>
          <w:rFonts w:ascii="Times New Roman" w:hAnsi="Times New Roman" w:cs="Times New Roman"/>
          <w:sz w:val="24"/>
          <w:szCs w:val="24"/>
        </w:rPr>
        <w:t xml:space="preserve">, B. (2007). “Benefits of international portfolio diversification,” </w:t>
      </w:r>
      <w:r w:rsidRPr="00075B10">
        <w:rPr>
          <w:rFonts w:ascii="Times New Roman" w:hAnsi="Times New Roman" w:cs="Times New Roman"/>
          <w:i/>
          <w:sz w:val="24"/>
          <w:szCs w:val="24"/>
        </w:rPr>
        <w:t>Journal of Advancing Business Practice, Vol. 10</w:t>
      </w:r>
      <w:r w:rsidRPr="00075B10">
        <w:rPr>
          <w:rFonts w:ascii="Times New Roman" w:hAnsi="Times New Roman" w:cs="Times New Roman"/>
          <w:sz w:val="24"/>
          <w:szCs w:val="24"/>
        </w:rPr>
        <w:t>, issue 2</w:t>
      </w:r>
    </w:p>
    <w:p w14:paraId="5C7D374B" w14:textId="77777777" w:rsidR="006411B4" w:rsidRPr="00471DC0" w:rsidRDefault="006411B4" w:rsidP="00471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BA0E6B" w14:textId="77777777" w:rsidR="000D2E63" w:rsidRPr="00471DC0" w:rsidRDefault="000D2E63" w:rsidP="00471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C8005B" w14:textId="77777777" w:rsidR="000D2E63" w:rsidRPr="00471DC0" w:rsidRDefault="000D2E63" w:rsidP="00471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C2629A" w14:textId="77777777" w:rsidR="000D2E63" w:rsidRPr="00471DC0" w:rsidRDefault="000D2E63" w:rsidP="00471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694D5A" w14:textId="72DF9FE7" w:rsidR="007C28BC" w:rsidRPr="002111F2" w:rsidRDefault="00471DC0" w:rsidP="00EE06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1DC0">
        <w:rPr>
          <w:rFonts w:ascii="Times New Roman" w:hAnsi="Times New Roman" w:cs="Times New Roman"/>
          <w:sz w:val="24"/>
          <w:szCs w:val="24"/>
        </w:rPr>
        <w:tab/>
      </w:r>
    </w:p>
    <w:sectPr w:rsidR="007C28BC" w:rsidRPr="002111F2" w:rsidSect="004906B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761EDE" w14:textId="77777777" w:rsidR="00682715" w:rsidRDefault="00682715" w:rsidP="0060548A">
      <w:pPr>
        <w:spacing w:after="0" w:line="240" w:lineRule="auto"/>
      </w:pPr>
      <w:r>
        <w:separator/>
      </w:r>
    </w:p>
  </w:endnote>
  <w:endnote w:type="continuationSeparator" w:id="0">
    <w:p w14:paraId="2C3AB572" w14:textId="77777777" w:rsidR="00682715" w:rsidRDefault="00682715" w:rsidP="00605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6239AF" w14:textId="77777777" w:rsidR="00682715" w:rsidRDefault="00682715" w:rsidP="0060548A">
      <w:pPr>
        <w:spacing w:after="0" w:line="240" w:lineRule="auto"/>
      </w:pPr>
      <w:r>
        <w:separator/>
      </w:r>
    </w:p>
  </w:footnote>
  <w:footnote w:type="continuationSeparator" w:id="0">
    <w:p w14:paraId="72A2FDBF" w14:textId="77777777" w:rsidR="00682715" w:rsidRDefault="00682715" w:rsidP="00605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957F0" w14:textId="5DAEF09A" w:rsidR="004906B5" w:rsidRDefault="004906B5">
    <w:pPr>
      <w:pStyle w:val="Header"/>
    </w:pPr>
    <w:r w:rsidRPr="0060548A">
      <w:rPr>
        <w:rFonts w:ascii="Times New Roman" w:hAnsi="Times New Roman" w:cs="Times New Roman"/>
        <w:sz w:val="24"/>
        <w:szCs w:val="24"/>
      </w:rPr>
      <w:t>PROJECTED PORTFOLIOS RETURN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906B5">
      <w:rPr>
        <w:rFonts w:ascii="Times New Roman" w:hAnsi="Times New Roman" w:cs="Times New Roman"/>
        <w:sz w:val="24"/>
        <w:szCs w:val="24"/>
      </w:rPr>
      <w:fldChar w:fldCharType="begin"/>
    </w:r>
    <w:r w:rsidRPr="004906B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906B5">
      <w:rPr>
        <w:rFonts w:ascii="Times New Roman" w:hAnsi="Times New Roman" w:cs="Times New Roman"/>
        <w:sz w:val="24"/>
        <w:szCs w:val="24"/>
      </w:rPr>
      <w:fldChar w:fldCharType="separate"/>
    </w:r>
    <w:r w:rsidR="00F941EB">
      <w:rPr>
        <w:rFonts w:ascii="Times New Roman" w:hAnsi="Times New Roman" w:cs="Times New Roman"/>
        <w:noProof/>
        <w:sz w:val="24"/>
        <w:szCs w:val="24"/>
      </w:rPr>
      <w:t>6</w:t>
    </w:r>
    <w:r w:rsidRPr="004906B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7EC71" w14:textId="216A82E8" w:rsidR="0060548A" w:rsidRPr="004906B5" w:rsidRDefault="004906B5">
    <w:pPr>
      <w:pStyle w:val="Header"/>
      <w:rPr>
        <w:rFonts w:ascii="Times New Roman" w:hAnsi="Times New Roman" w:cs="Times New Roman"/>
        <w:sz w:val="24"/>
        <w:szCs w:val="24"/>
      </w:rPr>
    </w:pPr>
    <w:r w:rsidRPr="0060548A">
      <w:rPr>
        <w:rFonts w:ascii="Times New Roman" w:hAnsi="Times New Roman" w:cs="Times New Roman"/>
        <w:sz w:val="24"/>
        <w:szCs w:val="24"/>
      </w:rPr>
      <w:t>Running Head: PROJECTED PORTFOLIOS RETURN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</w:t>
    </w:r>
    <w:r w:rsidRPr="0060548A">
      <w:rPr>
        <w:rFonts w:ascii="Times New Roman" w:hAnsi="Times New Roman" w:cs="Times New Roman"/>
        <w:sz w:val="24"/>
        <w:szCs w:val="24"/>
      </w:rPr>
      <w:fldChar w:fldCharType="begin"/>
    </w:r>
    <w:r w:rsidRPr="0060548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0548A">
      <w:rPr>
        <w:rFonts w:ascii="Times New Roman" w:hAnsi="Times New Roman" w:cs="Times New Roman"/>
        <w:sz w:val="24"/>
        <w:szCs w:val="24"/>
      </w:rPr>
      <w:fldChar w:fldCharType="separate"/>
    </w:r>
    <w:r w:rsidR="00C9043F">
      <w:rPr>
        <w:rFonts w:ascii="Times New Roman" w:hAnsi="Times New Roman" w:cs="Times New Roman"/>
        <w:noProof/>
        <w:sz w:val="24"/>
        <w:szCs w:val="24"/>
      </w:rPr>
      <w:t>1</w:t>
    </w:r>
    <w:r w:rsidRPr="0060548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11349"/>
    <w:multiLevelType w:val="multilevel"/>
    <w:tmpl w:val="2788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2A360B"/>
    <w:multiLevelType w:val="multilevel"/>
    <w:tmpl w:val="FE3CF4AE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7476F5"/>
    <w:multiLevelType w:val="multilevel"/>
    <w:tmpl w:val="B9743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AwNTMyNzIzNLI0NjZT0lEKTi0uzszPAykwrAUAfYvbaiwAAAA="/>
  </w:docVars>
  <w:rsids>
    <w:rsidRoot w:val="0039048B"/>
    <w:rsid w:val="00012F79"/>
    <w:rsid w:val="00017C21"/>
    <w:rsid w:val="00017D47"/>
    <w:rsid w:val="00026979"/>
    <w:rsid w:val="0007031D"/>
    <w:rsid w:val="00074AC5"/>
    <w:rsid w:val="00075B10"/>
    <w:rsid w:val="00077705"/>
    <w:rsid w:val="000D2E63"/>
    <w:rsid w:val="000F4E14"/>
    <w:rsid w:val="00101CA4"/>
    <w:rsid w:val="00116E69"/>
    <w:rsid w:val="001257EB"/>
    <w:rsid w:val="001279AF"/>
    <w:rsid w:val="001725C7"/>
    <w:rsid w:val="00185763"/>
    <w:rsid w:val="00187E4F"/>
    <w:rsid w:val="001A0B9F"/>
    <w:rsid w:val="001B3A38"/>
    <w:rsid w:val="001E19BB"/>
    <w:rsid w:val="002111F2"/>
    <w:rsid w:val="002422CF"/>
    <w:rsid w:val="002E6FDC"/>
    <w:rsid w:val="002F0720"/>
    <w:rsid w:val="00326430"/>
    <w:rsid w:val="00343193"/>
    <w:rsid w:val="0037011B"/>
    <w:rsid w:val="0038245B"/>
    <w:rsid w:val="0039048B"/>
    <w:rsid w:val="003B4A6B"/>
    <w:rsid w:val="003D0CFF"/>
    <w:rsid w:val="003D206B"/>
    <w:rsid w:val="00402B93"/>
    <w:rsid w:val="00421977"/>
    <w:rsid w:val="00452501"/>
    <w:rsid w:val="00461CFB"/>
    <w:rsid w:val="00471DC0"/>
    <w:rsid w:val="004906B5"/>
    <w:rsid w:val="004C3051"/>
    <w:rsid w:val="00524E60"/>
    <w:rsid w:val="0053771F"/>
    <w:rsid w:val="00542195"/>
    <w:rsid w:val="00542DCE"/>
    <w:rsid w:val="00554026"/>
    <w:rsid w:val="005635BB"/>
    <w:rsid w:val="005646F3"/>
    <w:rsid w:val="00566FBF"/>
    <w:rsid w:val="005746CC"/>
    <w:rsid w:val="0058350E"/>
    <w:rsid w:val="005D5B73"/>
    <w:rsid w:val="00602783"/>
    <w:rsid w:val="0060548A"/>
    <w:rsid w:val="00614A73"/>
    <w:rsid w:val="0061639F"/>
    <w:rsid w:val="00617E24"/>
    <w:rsid w:val="006411B4"/>
    <w:rsid w:val="00644EE9"/>
    <w:rsid w:val="00667251"/>
    <w:rsid w:val="00682715"/>
    <w:rsid w:val="006A7739"/>
    <w:rsid w:val="006B5A7A"/>
    <w:rsid w:val="006B6E4E"/>
    <w:rsid w:val="006C35FF"/>
    <w:rsid w:val="006D1943"/>
    <w:rsid w:val="006F071B"/>
    <w:rsid w:val="006F0A63"/>
    <w:rsid w:val="006F257B"/>
    <w:rsid w:val="0070675C"/>
    <w:rsid w:val="0075303F"/>
    <w:rsid w:val="007568F7"/>
    <w:rsid w:val="00764A73"/>
    <w:rsid w:val="007666D1"/>
    <w:rsid w:val="007942C0"/>
    <w:rsid w:val="007C28BC"/>
    <w:rsid w:val="007C5475"/>
    <w:rsid w:val="007E0301"/>
    <w:rsid w:val="007E057F"/>
    <w:rsid w:val="007E3D55"/>
    <w:rsid w:val="007F0481"/>
    <w:rsid w:val="008A7E82"/>
    <w:rsid w:val="008B0BC7"/>
    <w:rsid w:val="008B13D1"/>
    <w:rsid w:val="008B38D1"/>
    <w:rsid w:val="008D665E"/>
    <w:rsid w:val="00914A85"/>
    <w:rsid w:val="00944042"/>
    <w:rsid w:val="009526C9"/>
    <w:rsid w:val="00972CC2"/>
    <w:rsid w:val="0099069E"/>
    <w:rsid w:val="009B56C8"/>
    <w:rsid w:val="00A55868"/>
    <w:rsid w:val="00A65F49"/>
    <w:rsid w:val="00A7640F"/>
    <w:rsid w:val="00A80B98"/>
    <w:rsid w:val="00A82402"/>
    <w:rsid w:val="00A93026"/>
    <w:rsid w:val="00AD1495"/>
    <w:rsid w:val="00AF4910"/>
    <w:rsid w:val="00AF4AEE"/>
    <w:rsid w:val="00B13537"/>
    <w:rsid w:val="00B42EC1"/>
    <w:rsid w:val="00B51508"/>
    <w:rsid w:val="00B54B92"/>
    <w:rsid w:val="00B83683"/>
    <w:rsid w:val="00BB5C2C"/>
    <w:rsid w:val="00BC3077"/>
    <w:rsid w:val="00BD5190"/>
    <w:rsid w:val="00BD685A"/>
    <w:rsid w:val="00BE4615"/>
    <w:rsid w:val="00BE7F05"/>
    <w:rsid w:val="00C03087"/>
    <w:rsid w:val="00C04D92"/>
    <w:rsid w:val="00C9043F"/>
    <w:rsid w:val="00CC7B4E"/>
    <w:rsid w:val="00D234DD"/>
    <w:rsid w:val="00D31172"/>
    <w:rsid w:val="00D3436C"/>
    <w:rsid w:val="00D54092"/>
    <w:rsid w:val="00D74DBA"/>
    <w:rsid w:val="00D77131"/>
    <w:rsid w:val="00D809B6"/>
    <w:rsid w:val="00D85196"/>
    <w:rsid w:val="00D94AA0"/>
    <w:rsid w:val="00DC51FE"/>
    <w:rsid w:val="00DC619E"/>
    <w:rsid w:val="00E05B80"/>
    <w:rsid w:val="00E05FC5"/>
    <w:rsid w:val="00E15A68"/>
    <w:rsid w:val="00E33B57"/>
    <w:rsid w:val="00E410E3"/>
    <w:rsid w:val="00E51046"/>
    <w:rsid w:val="00EB7D70"/>
    <w:rsid w:val="00EC11EB"/>
    <w:rsid w:val="00EE06D3"/>
    <w:rsid w:val="00F300F6"/>
    <w:rsid w:val="00F377FF"/>
    <w:rsid w:val="00F549E8"/>
    <w:rsid w:val="00F6310C"/>
    <w:rsid w:val="00F7710D"/>
    <w:rsid w:val="00F85A27"/>
    <w:rsid w:val="00F941EB"/>
    <w:rsid w:val="00FA1A8F"/>
    <w:rsid w:val="00FD01B6"/>
    <w:rsid w:val="00FE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04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B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3904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9048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90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048B"/>
    <w:rPr>
      <w:b/>
      <w:bCs/>
    </w:rPr>
  </w:style>
  <w:style w:type="character" w:styleId="Emphasis">
    <w:name w:val="Emphasis"/>
    <w:basedOn w:val="DefaultParagraphFont"/>
    <w:uiPriority w:val="20"/>
    <w:qFormat/>
    <w:rsid w:val="005646F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05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48A"/>
  </w:style>
  <w:style w:type="paragraph" w:styleId="Footer">
    <w:name w:val="footer"/>
    <w:basedOn w:val="Normal"/>
    <w:link w:val="FooterChar"/>
    <w:uiPriority w:val="99"/>
    <w:unhideWhenUsed/>
    <w:rsid w:val="00605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48A"/>
  </w:style>
  <w:style w:type="paragraph" w:styleId="ListParagraph">
    <w:name w:val="List Paragraph"/>
    <w:basedOn w:val="Normal"/>
    <w:uiPriority w:val="34"/>
    <w:qFormat/>
    <w:rsid w:val="000269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A0B9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01CA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B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3904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9048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90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048B"/>
    <w:rPr>
      <w:b/>
      <w:bCs/>
    </w:rPr>
  </w:style>
  <w:style w:type="character" w:styleId="Emphasis">
    <w:name w:val="Emphasis"/>
    <w:basedOn w:val="DefaultParagraphFont"/>
    <w:uiPriority w:val="20"/>
    <w:qFormat/>
    <w:rsid w:val="005646F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05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48A"/>
  </w:style>
  <w:style w:type="paragraph" w:styleId="Footer">
    <w:name w:val="footer"/>
    <w:basedOn w:val="Normal"/>
    <w:link w:val="FooterChar"/>
    <w:uiPriority w:val="99"/>
    <w:unhideWhenUsed/>
    <w:rsid w:val="00605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48A"/>
  </w:style>
  <w:style w:type="paragraph" w:styleId="ListParagraph">
    <w:name w:val="List Paragraph"/>
    <w:basedOn w:val="Normal"/>
    <w:uiPriority w:val="34"/>
    <w:qFormat/>
    <w:rsid w:val="000269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A0B9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01C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39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3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dgeting.thenest.com/calculate-average-return-portfolio-stocks-26921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2018-09-08T04:58:00Z</dcterms:created>
  <dcterms:modified xsi:type="dcterms:W3CDTF">2018-09-09T20:10:00Z</dcterms:modified>
</cp:coreProperties>
</file>